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PROPOSTA DI LEGGE COSTITUZIONALE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i w:val="1"/>
          <w:iCs w:val="1"/>
          <w:color w:val="000000"/>
          <w:u w:color="000000"/>
          <w:rtl w:val="0"/>
          <w:lang w:val="it-IT"/>
        </w:rPr>
        <w:t>Modifica dell</w:t>
      </w:r>
      <w:r>
        <w:rPr>
          <w:rFonts w:ascii="Roboto" w:cs="Roboto" w:hAnsi="Roboto" w:eastAsia="Roboto"/>
          <w:i w:val="1"/>
          <w:iCs w:val="1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i w:val="1"/>
          <w:iCs w:val="1"/>
          <w:color w:val="000000"/>
          <w:u w:color="000000"/>
          <w:rtl w:val="0"/>
          <w:lang w:val="it-IT"/>
        </w:rPr>
        <w:t>articolo 116 comma 3 della Costituzione, concernente il riconoscimento alle Regioni di forme e condizioni particolari di autonomia, e dell</w:t>
      </w:r>
      <w:r>
        <w:rPr>
          <w:rFonts w:ascii="Roboto" w:cs="Roboto" w:hAnsi="Roboto" w:eastAsia="Roboto"/>
          <w:i w:val="1"/>
          <w:iCs w:val="1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i w:val="1"/>
          <w:iCs w:val="1"/>
          <w:color w:val="000000"/>
          <w:u w:color="000000"/>
          <w:rtl w:val="0"/>
          <w:lang w:val="it-IT"/>
        </w:rPr>
        <w:t>art.117, commi 1, 2 e 3, con l</w:t>
      </w:r>
      <w:r>
        <w:rPr>
          <w:rFonts w:ascii="Roboto" w:cs="Roboto" w:hAnsi="Roboto" w:eastAsia="Roboto"/>
          <w:i w:val="1"/>
          <w:iCs w:val="1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i w:val="1"/>
          <w:iCs w:val="1"/>
          <w:color w:val="000000"/>
          <w:u w:color="000000"/>
          <w:rtl w:val="0"/>
          <w:lang w:val="it-IT"/>
        </w:rPr>
        <w:t>introduzione di una clausola di supremazia della legge statale, e lo spostamento di alcune materie di potest</w:t>
      </w:r>
      <w:r>
        <w:rPr>
          <w:rFonts w:ascii="Roboto" w:cs="Roboto" w:hAnsi="Roboto" w:eastAsia="Roboto"/>
          <w:i w:val="1"/>
          <w:iCs w:val="1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i w:val="1"/>
          <w:iCs w:val="1"/>
          <w:color w:val="000000"/>
          <w:u w:color="000000"/>
          <w:rtl w:val="0"/>
          <w:lang w:val="it-IT"/>
        </w:rPr>
        <w:t>legislativa concorrente alla potest</w:t>
      </w:r>
      <w:r>
        <w:rPr>
          <w:rFonts w:ascii="Roboto" w:cs="Roboto" w:hAnsi="Roboto" w:eastAsia="Roboto"/>
          <w:i w:val="1"/>
          <w:iCs w:val="1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i w:val="1"/>
          <w:iCs w:val="1"/>
          <w:color w:val="000000"/>
          <w:u w:color="000000"/>
          <w:rtl w:val="0"/>
          <w:lang w:val="it-IT"/>
        </w:rPr>
        <w:t>legislativa esclusiva dello Stato.</w:t>
      </w:r>
      <w:r>
        <w:rPr>
          <w:rFonts w:ascii="Roboto" w:cs="Roboto" w:hAnsi="Roboto" w:eastAsia="Roboto"/>
          <w:i w:val="1"/>
          <w:iCs w:val="1"/>
          <w:color w:val="000000"/>
          <w:u w:color="000000"/>
          <w:rtl w:val="0"/>
          <w:lang w:val="it-IT"/>
        </w:rPr>
        <w:t> 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La crisi sanitaria, economica e sociale derivante dalla pandemia e dalle conseguenze negative per gli approvvigionamenti di energia e materie prime, dovute al conflitto bellico in corso tra Russia e Ucraina, ha posto in immediata evidenza le intollerabili diseguaglianze, accresciute e aggravate progressivamente nel tempo, nel godimento di diritti fondamentali come la salute, 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istruzione, la mobilit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à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, il lavoro. Si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è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segnalata da pi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ù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parti la necessit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di rafforzare il ruolo dello Stato a tutela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eguaglianza e dei diritti, con la formulazione e 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implementazione di politiche pubbliche forti finalizzate in ultima analisi a consolidare 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unit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del paese. 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urgenza di una iniziativa cos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ì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indirizzata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è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in particolare sottolineata dalla necessit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di attuare il Piano nazionale di ripresa e resilienza. Mentre una pericolosa spinta in senso contrario si ricava dalle persistenti richieste di autonomia differenziata avanzate da alcune Regioni.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In questo quadro, la proposta di riforma si volge alla modifica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art. 116, comma 3, e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art. 117, commi 1, 2 e 3 della Costituzione.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Per 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art. 116, comma 3, alle regioni possono essere attribuite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“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forme e condizioni particolari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”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di autonomia.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La modifica intende riportare il riconoscimento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autonomia differenziata a una condizione effettivamente diversa e propria del territorio interessato, senza lesione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interesse di altre regioni. Si cancella la possibilit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di autonomia differenziata oggi prevista nelle materie affidate alla potest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esclusiva dello Stato (art. 117, comma 2, lett. l), n) ed s): giustizia di pace, norme generali sull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istruzione e tutela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ambiente,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ecosistema e dei beni culturali). Si prevede che possa essere richiesto un referendum nazionale approvativo della legge attributiva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autonomia prima della sua entrata in vigore, e un referendum abrogativo successivamente,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 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entrambi oggi preclusi in base al testo vigente e alla giurisprudenza della Corte costituzionale. Si recupera infine flessibilit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à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, cancellando la natura pattizia e lasciando il legislatore statale libero di adeguare le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“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forme e condizioni particolari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”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riconosciute a esigenze diverse e sopravvenute che ne suggeriscano la revisione.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obiettivo della modifica proposta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è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consentire una limitata e giustificata variabilit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autonomia regionale, espungendo per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ò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gli elementi che la rendono potenzialmente pericolosa per 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unit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del paese. Si intende cos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ì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anche porre un argine alle inaccettabili letture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autonomia differenziata che sono alla base delle richieste avanzate in specie da Veneto, Lombardia ed Emilia-Romagna.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art. 117, commi 1, 2 e 3 definisce il quadro delle potest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legislative attribuite allo Stato e alle Regioni.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La modifica proposta introduce nel primo comma una clausola di supremazia della legge statale finalizzata alla tutela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interesse nazionale e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unit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giuridica ed economica della Repubblica.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Nei commi 2 e 3 si propone una parziale ridefinizione del catalogo delle potest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legislative. Si segnala in specie nel comma 2 la modifica che affida alla potest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legislativa esclusiva dello Stato la determinazione di livelli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“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uniformi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”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e non pi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ù “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essenziali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”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delle prestazioni per i diritti civili e sociali. Si riportano in ampia misura alla potest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esclusiva materie come la sanit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ed in specie il servizio sanitario nazionale, la scuola e 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istruzione a tutti i livelli, il lavoro e la previdenza, le infrastrutture materiali e immateriali di rilievo nazionale e di valenza strategica. La potest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legislativa concorrente attribuita alle Regioni rimane, ma senza la possibilit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di derive che mettano a rischio 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unit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e indivisibilit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della Repubblica garantite dall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art. 5.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Una modifica che chiaramente imputa al legislatore nazionale il potere, e conseguentemente la responsabilit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à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di formulare e attuare forti politiche pubbliche, oggi rese necessarie e urgenti dalla crisi sanitaria, economica e sociale derivante dalla pandemia.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obiettivo ultimo della riforma che qui si propone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è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introdurre un pi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ù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saldo presidio per 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eguaglianza dei diritti in ogni parte del paese, premessa necessaria per una effettiva unit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à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.</w:t>
      </w:r>
    </w:p>
    <w:p>
      <w:pPr>
        <w:pStyle w:val="Normal.0"/>
        <w:spacing w:before="100" w:after="100"/>
      </w:pPr>
    </w:p>
    <w:p>
      <w:pPr>
        <w:pStyle w:val="Normal.0"/>
        <w:spacing w:before="100" w:after="100"/>
      </w:pP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 xml:space="preserve">Art. 1 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 xml:space="preserve">– 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>Modifica dell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>articolo 116, terzo comma (autonomia differenziata)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art. 116, comma 3, della Costituzione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è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sostituito dal seguente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“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Ulteriori forme e condizioni particolari di autonomia, concernenti le materie di cui al terzo comma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articolo 117 e giustificate dalle specificit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del territorio, possono essere attribuite ad altre Regioni, con legge dello Stato approvata dalle Camere a maggioranza assoluta dei componenti, sentiti la regione e gli enti locali interessati, nel rispetto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interesse delle altre Regioni e dei principi di cui agli articoli 117 e 119. La legge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è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sottoposta a referendum popolare quando, entro tre mesi dalla pubblicazione, ne facciano domanda un quinto dei membri di una Camera o cinquecentomila elettori o cinque Consigli regionali.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La legge sottoposta a referendum non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è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promulgata se non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è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approvata dalla maggioranza dei voti validi. La legge promulgata ed entrata in vigore pu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ò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essere sottoposta a referendum abrogativo secondo le modalit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e con gli effetti previsti dalla legge di attuazione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articolo 75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”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.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 xml:space="preserve">Art. 2 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 xml:space="preserve">– 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>Modifica dell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>art. 117, primo comma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art. 117, primo comma, della Costituzione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è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sostituito dal seguente: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“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La potest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legislativa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è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esercitata dallo Stato e dalle Regioni nel rispetto della Costituzione, nonch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é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dei vincoli derivanti dall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ordinamento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Unione Europea e dagli obblighi internazionali. La legge dello Stato pu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ò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disporre nelle materie non riservate alla legislazione esclusiva, comprese le materie disciplinate con legge regionale in attuazione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art. 116, terzo comma, quando lo richiede la tutela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unit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giuridica o economica della Repubblica, ovvero la tutela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interesse nazionale. La legge regionale non pu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ò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in alcun caso porsi in contrasto con 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interesse nazionale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”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.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 xml:space="preserve">Art. 3 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 xml:space="preserve">– 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>Modifica dell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>art. 117, secondo comma (potest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>legislativa esclusiva dello Stato)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art. 117, secondo comma, della Costituzione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è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modificato come segue: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Nella lettera e), dopo le parole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“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sistema tributario e contabile dello Stato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”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sono aggiunte le parole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“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coordinamento della finanza pubblica e del sistema tributario;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”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Nella lettera i)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è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aggiunta in fine la parola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“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professioni;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”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Le lettere m), n) e o) sono sostituite dalle seguenti:</w:t>
      </w:r>
      <w:r>
        <w:rPr>
          <w:rFonts w:ascii="Roboto" w:cs="Roboto" w:hAnsi="Roboto" w:eastAsia="Roboto"/>
          <w:color w:val="000000"/>
          <w:u w:color="000000"/>
          <w:rtl w:val="0"/>
        </w:rPr>
        <w:br w:type="textWrapping"/>
        <w:t>“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m) determinazione dei livelli uniformi delle prestazioni concernenti i diritti civili e sociali che devono essere garantiti su tutto il territorio nazionale; tutela della salute e servizio sanitario nazionale; tutela e sicurezza del lavoro; scuola e universit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à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salva 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autonomia delle istituzioni scolastiche e universitarie, ricerca scientifica e tecnologica;</w:t>
      </w:r>
      <w:r>
        <w:rPr>
          <w:rFonts w:ascii="Roboto" w:cs="Roboto" w:hAnsi="Roboto" w:eastAsia="Roboto"/>
          <w:color w:val="000000"/>
          <w:u w:color="000000"/>
        </w:rPr>
        <w:br w:type="textWrapping"/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n) reti nazionali e interregionali di trasporto e di navigazione; porti e aeroporti civili di rilievo nazionale e interregionale; reti e ordinamento della comunicazione; produzione, trasporto e distribuzione nazionale e interregionale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energia;</w:t>
      </w:r>
      <w:r>
        <w:rPr>
          <w:rFonts w:ascii="Roboto" w:cs="Roboto" w:hAnsi="Roboto" w:eastAsia="Roboto"/>
          <w:color w:val="000000"/>
          <w:u w:color="000000"/>
        </w:rPr>
        <w:br w:type="textWrapping"/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o) previdenza sociale, previdenza complementare e integrativa;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”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 xml:space="preserve">Art. 4 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 xml:space="preserve">– 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>Modifica dell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>art. 117, terzo comma (potest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b w:val="1"/>
          <w:bCs w:val="1"/>
          <w:i w:val="1"/>
          <w:iCs w:val="1"/>
          <w:color w:val="000000"/>
          <w:u w:color="000000"/>
          <w:rtl w:val="0"/>
          <w:lang w:val="it-IT"/>
        </w:rPr>
        <w:t>legislativa concorrente Stato-Regioni).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art. 117, terzo comma,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è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sostituito dal seguente:</w:t>
      </w:r>
    </w:p>
    <w:p>
      <w:pPr>
        <w:pStyle w:val="Normal.0"/>
        <w:spacing w:before="100" w:after="100"/>
      </w:pP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“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Sono materie di legislazione concorrente quelle relative a: rapporti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internazionali e con 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Unione europea delle Regioni; commercio con 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estero; assistenza ed edilizia scolastica; istruzione e formazione professionale; sostegno all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innovazione per i settori produttivi; assistenza e organizzazione sanitaria; assistenza sociale; alimentazione; ordinamento sportivo; protezione civile a carattere regionale; governo del territorio; porti e aeroporti civili di rilievo regionale e locale; tributi regionali e locali; valorizzazione dei beni culturali e ambientali di rilievo regionale e locale e promozione e organizzazione di attivit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culturali; casse di risparmio, casse rurali, aziende di credito a carattere regionale; enti di credito fondiario e agrario a carattere regionale. Nelle materie di legislazione concorrente spetta alle Regioni la potest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legislativa, salvo che per la determinazione dei principi fondamentali, riservata alla legislazione dello Stato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”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.</w:t>
      </w:r>
    </w:p>
    <w:p>
      <w:pPr>
        <w:pStyle w:val="Normal.0"/>
        <w:spacing w:before="100" w:after="100"/>
      </w:pPr>
    </w:p>
    <w:p>
      <w:pPr>
        <w:pStyle w:val="Normal.0"/>
        <w:spacing w:before="100" w:after="100"/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Firmatari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Massimo Villone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Diritto costituzionale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Adriano Giannola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presidente SVIMEZ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Eugenio Mazzarella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Filosofia teoretica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Gianfranco Viesti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Economia applicata Uni. di Bari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Marco Esposito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giornalista e saggista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Nadia Urbinati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Scienze politiche Columbia University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Franco Gallo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Diritto tributario Uni. Roma LUISS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Giuseppe Pisauro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Scienza delle finanze, Uni. di Roma Sapienza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Maurizio De Giovanni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scrittore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Rino Di Meglio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coordinatore nazionale Gilda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Francesco Sinopoli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segretario generale FLC CGIL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Giuseppe D</w:t>
      </w:r>
      <w:r>
        <w:rPr>
          <w:rFonts w:ascii="Roboto" w:cs="Roboto" w:hAnsi="Roboto" w:eastAsia="Roboto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Aprile,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 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segretario generale UIL scuola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Ivana Barbacci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 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segretaria generale CISL scuola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Elvira Serafini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segretaria generale SNALS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Silvio Gambino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Diritto pubblico comparato Uni. della Calabria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Marina Calamo Specchia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Diritto costituzionale Uni. di Bari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Mario Dogliani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Diritto costituzionale Uni. di Torino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Natale Carlo Lauro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Statistica,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Roberto Esposito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Filosofia nella Normale di Pisa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Luigi Ferrajoli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Filosofia del diritto, Uni. di Roma Tre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Paolo Corsini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Storia moderna Uni. di Parma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Giovanna De Minico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Diritto costituzionale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Guido Giarelli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 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docente di Sociologia, Uni.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“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Magna Graecia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”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di Catanzaro.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Mauro Volpi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Diritto costituzionale Uni. di Perugia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Lucio Romano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Bioetica Pontificia Facolt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Teologica Italiana Meridionale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Titti Marrone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giornalista e scrittrice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Isaia Sales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e scrittore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Giuseppe Acocella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Dottrine politiche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Maria Carmela Agodi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Sociologia,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Salvatore M. Aloj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Patologia molecolare,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Francesco Barbagallo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Storia contemporanea,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Charlie Barnao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, docente di Sociologia dei processi culturali, Uni.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“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Magna Gr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æ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cia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”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di Catanzaro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Pasquale Belfiore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Urbanistica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Mauro Beschi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Coordinamento per la democrazia costituzionale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Salvatore Biasco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Economia monetaria internazionale Uni. di Roma La Sapienza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Gennaro Biondi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Geografia economica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Giuseppe Bozzi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Diritto civile Uni. Luiss di Roma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Micol Bronzini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Sociologia dei processi economici e del lavoro, Uni. Politecnica delle Marche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Pietro Massimo Busetta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Statistica economica, Uni. di Palermo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Maria Agostina Cabiddu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Istituzioni di diritto pubblico, Politecnico di Milano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Fulvio Cammarano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Storia contemporanea Uni. di Bologna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Giuseppe Cantillo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Filosofia morale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Mario Cardano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Sociologia generale, Uni. di Torino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Lorenzo Chieffi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Diritto costituzionale Uni. della Campania Vanvitelli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Elvira Chiosi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Storia moderna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Rosanna Cioffi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Storia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Arte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prorettore Uni. della Campania Vanvitelli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Ines Ciolli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Diritto costituzionale, Uni. di Roma La Sapienza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Roberto Cogliandro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Notaio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Luigi Colaianni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Sociologia, Uni. di Padova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Tullio D</w:t>
      </w:r>
      <w:r>
        <w:rPr>
          <w:rFonts w:ascii="Roboto" w:cs="Roboto" w:hAnsi="Roboto" w:eastAsia="Roboto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Aponte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Geopolitica economica,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Francesco Dandolo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Storia economica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Davide De Caro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Elettronica,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Claudio De Fiores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Diritto costituzionale Uni. della Campania Vanvitelli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Biagio De Giovanni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Filosofia del diritto Uni. di Napoli Orientale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Pompea Giuseppina Grazia Del Vecchio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Chimica fisica, Uni.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Renata De Lorenzo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Presidente Societ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Napoletana di Storia Patria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Paola De Vivo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Sociologia dei processi economici e del lavoro,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Gianni De Simone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Cardiologia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Alberto Di Donato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Biochimica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Francesco Di Donato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Storia delle istituzioni politiche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Costanzo Di Girolamo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Filologia e linguistica romanza,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Raimondo Di Maio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libraio ed editore Dante&amp;Descartes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Maurizio Esposito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Sociologia generale, Uni. di Cassino e del Lazio Meridionale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Anna Rosa Favretto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Sociologia generale, Uni. di Torino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Roberto Finelli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Storia della filosofia Universit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di Roma Tre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Vittoria Fiorelli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Storia moderna,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Suor Orsola Benincasa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Domenico Gallo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Coordinamento per la democrazia costituzionale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Massimo Galluppi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Relazioni internazionali Uni. di Napoli Orientale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Alfonso Gianni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Coordinamento per la democrazia costituzionale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Raffaele Giglio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Letteratura italiana, Uni. Federico II di Napoli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Alfiero Grandi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Coordinamento per la democrazia costituzionale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Giuseppe R. Gristina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, medico. Pontificio Consiglio per la Cultura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–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Consulta Scientifica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Bruno Jossa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Economia politica,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Giuliano Laccetti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Informatica,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Marie-Helene Laforest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Letteratura postcoloniale anglofona Uni. di Napoli Orientale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Clemente Lanzetti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Sociologia generale, Uni. Cattolica del Sacro Cuore, Milano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Fabrizio Lomonaco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Storia della filosofia,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Alberto Lucarelli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Diritto costituzionale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Paolo Macry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Storia contemporanea,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Luigi Manconi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Sociologia dei fenomeni politici IULM di Milano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Silvia Manderino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Coordinamento per la democrazia costituzionale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Rosita Marchese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presidente Accademia belle arti di Napoli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Luigi Mascilli Migliorini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Storia moderna Uni. di Napoli Orientale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Francesco Mazzocca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Geometria, Uni. della Campania Vanvitelli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Andrea Mazzucchi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Filologia della letteratura italiana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Guido Melis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Storia delle Istituzioni Politiche Uni. di Roma La Sapienza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Edmondo Mostacci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Diritto comparato Uni. di Genova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Fabio Murena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Principi di Ingegneria Chimica,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Aurelio Musi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Storia moderna Uni. di Salerno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Ida Nicotra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Diritto costituzionale Uni. di Catania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Silvana Nitti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Storia del cristianesimo e della chiesa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Francesco Pallante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Diritto costituzionale Uni. di Torino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Anna Papa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Istituzioni di diritto pubblico Uni. di Napoli Partenope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Massimo Pica Ciamarra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architetto,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Progettazione Architettonica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Antonio Pileggi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Coordinamento per la democrazia costituzionale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Catello Polito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Genetica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Franco Rengo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Medicina geriatrica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Francesca Rossetti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sociologa clinica, medico, Bologna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Guido Rossi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Immunopatologia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Renato Rotondo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Medico, Napoli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Mario Rusciano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Diritto del lavoro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Fiammetta Salmoni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Istituzioni di diritto pubblico, Uni. Guglielmo Marconi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Franco Salvatore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emerito di Biochimica clinica e biologia molecolare clinica Uni. di Napoli Federico II e Membro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Accademia delle Scienze (detta dei XL) di Roma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Cesare Salvi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Diritto civile Uni. di Perugia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Aldo Schiavone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Diritto romano presso la Normale di Pisa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Antonella Sciortino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Diritto Costituzionale Uni. di Palermo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Adolfo Scotto di Luzio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Pedagogia Uni. di Bologna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Luigi Maria Sicca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Economia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Alessandro Somma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Diritto comparato, Uni di Roma La Sapienza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Elena Spina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Sociologia dei processi economici e del lavoro, Uni. Politecnica delle Marche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Giulio Starita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Fisica Matematica, Uni. della Campania Vanvitelli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Franco Toniolo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Direttore Generale Assessorati Sanit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e Sociale Regione Veneto e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Presidente AGENAS, Agenzia per i Servizi Sanitari Regionali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Giorgio Ventre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Sistemi di elaborazione delle informazioni Uni. di Napoli Federico II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Sandro Veronesi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scrittore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Giovanna Vicarelli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docente di Sociologia economica, Uni. Politecnica delle Marche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Lida Viganoni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Geografia Uni. di Napoli Orientale e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rettrice dell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’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Istituto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Vincenzo Vita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presidente Associazione per il rinnovamento della sinistra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Roboto" w:cs="Roboto" w:hAnsi="Roboto" w:eastAsia="Roboto"/>
          <w:rtl w:val="0"/>
          <w:lang w:val="it-IT"/>
        </w:rPr>
      </w:pPr>
      <w:r>
        <w:rPr>
          <w:rFonts w:ascii="Roboto" w:cs="Roboto" w:hAnsi="Roboto" w:eastAsia="Roboto"/>
          <w:b w:val="1"/>
          <w:bCs w:val="1"/>
          <w:color w:val="000000"/>
          <w:u w:color="000000"/>
          <w:rtl w:val="0"/>
          <w:lang w:val="it-IT"/>
        </w:rPr>
        <w:t>Giovanni Vitolo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, gi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 xml:space="preserve">à </w:t>
      </w:r>
      <w:r>
        <w:rPr>
          <w:rFonts w:ascii="Roboto" w:cs="Roboto" w:hAnsi="Roboto" w:eastAsia="Roboto"/>
          <w:color w:val="000000"/>
          <w:u w:color="000000"/>
          <w:rtl w:val="0"/>
          <w:lang w:val="it-IT"/>
        </w:rPr>
        <w:t>docente di Storia medievale, Uni. di Napoli Federico II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